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F9" w:rsidRDefault="00DA0EAD" w:rsidP="00DA0EAD">
      <w:pPr>
        <w:jc w:val="center"/>
      </w:pPr>
      <w:r>
        <w:t>ANKARA Y</w:t>
      </w:r>
      <w:r w:rsidR="008D6EB8">
        <w:t>ILDIRIM BEYAZIT UNIVERSITY (AYBÜ) 2020/2021</w:t>
      </w:r>
      <w:r>
        <w:t xml:space="preserve"> Academic Year MEVLANA Exchange Programme Stu</w:t>
      </w:r>
      <w:r w:rsidR="008D6EB8">
        <w:t>dent Mobility Application Period</w:t>
      </w:r>
    </w:p>
    <w:p w:rsidR="00DA0EAD" w:rsidRDefault="00DA0EAD" w:rsidP="00DA0EAD">
      <w:pPr>
        <w:jc w:val="center"/>
      </w:pPr>
    </w:p>
    <w:p w:rsidR="00DA0EAD" w:rsidRDefault="008D6EB8" w:rsidP="00DA0EAD">
      <w:pPr>
        <w:jc w:val="center"/>
      </w:pPr>
      <w:r>
        <w:t>Application Calendar</w:t>
      </w:r>
    </w:p>
    <w:p w:rsidR="00DA0EAD" w:rsidRDefault="00DA0EAD" w:rsidP="00DA0EAD">
      <w:pPr>
        <w:jc w:val="center"/>
      </w:pPr>
    </w:p>
    <w:tbl>
      <w:tblPr>
        <w:tblStyle w:val="TabloKlavuzu"/>
        <w:tblW w:w="0" w:type="auto"/>
        <w:tblLook w:val="04A0" w:firstRow="1" w:lastRow="0" w:firstColumn="1" w:lastColumn="0" w:noHBand="0" w:noVBand="1"/>
      </w:tblPr>
      <w:tblGrid>
        <w:gridCol w:w="4644"/>
        <w:gridCol w:w="4644"/>
      </w:tblGrid>
      <w:tr w:rsidR="00DA0EAD" w:rsidRPr="00EE1AA7" w:rsidTr="00DF5D0D">
        <w:tc>
          <w:tcPr>
            <w:tcW w:w="4644" w:type="dxa"/>
          </w:tcPr>
          <w:p w:rsidR="00DA0EAD" w:rsidRPr="00EE1AA7" w:rsidRDefault="00DA0EAD" w:rsidP="00DF5D0D">
            <w:pPr>
              <w:rPr>
                <w:lang w:val="tr-TR"/>
              </w:rPr>
            </w:pPr>
            <w:r>
              <w:t>Application Dates</w:t>
            </w:r>
          </w:p>
        </w:tc>
        <w:tc>
          <w:tcPr>
            <w:tcW w:w="4644" w:type="dxa"/>
          </w:tcPr>
          <w:p w:rsidR="00DA0EAD" w:rsidRPr="00EE1AA7" w:rsidRDefault="008D6EB8" w:rsidP="00DF5D0D">
            <w:pPr>
              <w:rPr>
                <w:lang w:val="tr-TR"/>
              </w:rPr>
            </w:pPr>
            <w:r>
              <w:rPr>
                <w:lang w:val="tr-TR"/>
              </w:rPr>
              <w:t>19</w:t>
            </w:r>
            <w:r w:rsidR="00D569E3">
              <w:rPr>
                <w:lang w:val="tr-TR"/>
              </w:rPr>
              <w:t>.02</w:t>
            </w:r>
            <w:r>
              <w:rPr>
                <w:lang w:val="tr-TR"/>
              </w:rPr>
              <w:t>.</w:t>
            </w:r>
            <w:r>
              <w:t>2020</w:t>
            </w:r>
            <w:r w:rsidR="00D569E3">
              <w:rPr>
                <w:lang w:val="tr-TR"/>
              </w:rPr>
              <w:t xml:space="preserve"> -</w:t>
            </w:r>
            <w:r>
              <w:rPr>
                <w:lang w:val="tr-TR"/>
              </w:rPr>
              <w:t xml:space="preserve"> </w:t>
            </w:r>
            <w:r w:rsidR="00D569E3">
              <w:rPr>
                <w:lang w:val="tr-TR"/>
              </w:rPr>
              <w:t>05.03.</w:t>
            </w:r>
            <w:r>
              <w:rPr>
                <w:lang w:val="tr-TR"/>
              </w:rPr>
              <w:t>2020</w:t>
            </w:r>
          </w:p>
        </w:tc>
      </w:tr>
      <w:tr w:rsidR="00DA0EAD" w:rsidRPr="00EE1AA7" w:rsidTr="00DF5D0D">
        <w:tc>
          <w:tcPr>
            <w:tcW w:w="4644" w:type="dxa"/>
          </w:tcPr>
          <w:p w:rsidR="00DA0EAD" w:rsidRPr="00EE1AA7" w:rsidRDefault="008D6EB8" w:rsidP="00DF5D0D">
            <w:pPr>
              <w:rPr>
                <w:lang w:val="tr-TR"/>
              </w:rPr>
            </w:pPr>
            <w:r>
              <w:t>Evaluation Period</w:t>
            </w:r>
          </w:p>
        </w:tc>
        <w:tc>
          <w:tcPr>
            <w:tcW w:w="4644" w:type="dxa"/>
          </w:tcPr>
          <w:p w:rsidR="00DA0EAD" w:rsidRPr="00EE1AA7" w:rsidRDefault="008D6EB8" w:rsidP="00DF5D0D">
            <w:pPr>
              <w:rPr>
                <w:lang w:val="tr-TR"/>
              </w:rPr>
            </w:pPr>
            <w:r>
              <w:rPr>
                <w:lang w:val="tr-TR"/>
              </w:rPr>
              <w:t>09.03.2020 – 13.03.2020</w:t>
            </w:r>
          </w:p>
        </w:tc>
      </w:tr>
    </w:tbl>
    <w:p w:rsidR="00DA0EAD" w:rsidRDefault="00DA0EAD" w:rsidP="00DA0EAD"/>
    <w:p w:rsidR="00A966A0" w:rsidRDefault="00A966A0" w:rsidP="00DA0EAD">
      <w:pPr>
        <w:pStyle w:val="ListeParagraf"/>
        <w:numPr>
          <w:ilvl w:val="0"/>
          <w:numId w:val="1"/>
        </w:numPr>
      </w:pPr>
      <w:r>
        <w:t>Application and consultation procedures will be held between 10:00-11:30 and 14:00-16:30 on weekdays. Candidates should submit their applications personally. Applications made by email or submitted by someone else will not be accepted</w:t>
      </w:r>
      <w:r w:rsidR="00270E1B">
        <w:t>. Only students abroad due to exchange programs can send their application documents in PDF format to mevlana@ybu.edu.tr.</w:t>
      </w:r>
    </w:p>
    <w:p w:rsidR="008B495C" w:rsidRDefault="008B495C" w:rsidP="008B495C">
      <w:pPr>
        <w:pStyle w:val="ListeParagraf"/>
        <w:ind w:left="360"/>
      </w:pPr>
    </w:p>
    <w:p w:rsidR="008B495C" w:rsidRDefault="008B495C" w:rsidP="008B495C">
      <w:pPr>
        <w:pStyle w:val="ListeParagraf"/>
        <w:ind w:left="360"/>
        <w:jc w:val="center"/>
      </w:pPr>
      <w:r>
        <w:t>APPLICATION REQUIREMENTS</w:t>
      </w:r>
    </w:p>
    <w:p w:rsidR="007673AC" w:rsidRDefault="00270E1B" w:rsidP="008B495C">
      <w:pPr>
        <w:pStyle w:val="ListeParagraf"/>
        <w:numPr>
          <w:ilvl w:val="0"/>
          <w:numId w:val="2"/>
        </w:numPr>
      </w:pPr>
      <w:r>
        <w:t xml:space="preserve">The applicant applying </w:t>
      </w:r>
      <w:r w:rsidR="008B495C">
        <w:t>to</w:t>
      </w:r>
      <w:r w:rsidR="007673AC">
        <w:t xml:space="preserve"> Student Mobility must be an enrolled full-time student</w:t>
      </w:r>
      <w:r>
        <w:t xml:space="preserve"> in any of the formal education/secondary education programs (associate, undergraduate or graduate)</w:t>
      </w:r>
      <w:r w:rsidR="007673AC">
        <w:t xml:space="preserve"> at Ank</w:t>
      </w:r>
      <w:r>
        <w:t>ara Yıldırım Beyazıt University.</w:t>
      </w:r>
    </w:p>
    <w:p w:rsidR="008B495C" w:rsidRDefault="008B495C" w:rsidP="008B495C">
      <w:pPr>
        <w:pStyle w:val="ListeParagraf"/>
        <w:numPr>
          <w:ilvl w:val="0"/>
          <w:numId w:val="2"/>
        </w:numPr>
      </w:pPr>
      <w:r>
        <w:t xml:space="preserve">Students </w:t>
      </w:r>
      <w:r w:rsidR="00270E1B">
        <w:t>in p</w:t>
      </w:r>
      <w:r>
        <w:t>reparatory</w:t>
      </w:r>
      <w:r w:rsidR="00270E1B">
        <w:t xml:space="preserve"> class of associate and undergraduate programs as well as graduate and doctorate students </w:t>
      </w:r>
      <w:r w:rsidR="00A8591D">
        <w:t>in scientific preparation periods cannot benefit from this programme.</w:t>
      </w:r>
      <w:r w:rsidR="00270E1B">
        <w:t xml:space="preserve"> </w:t>
      </w:r>
      <w:r w:rsidR="00A8591D">
        <w:t xml:space="preserve"> </w:t>
      </w:r>
    </w:p>
    <w:p w:rsidR="008B495C" w:rsidRDefault="00A8591D" w:rsidP="008B495C">
      <w:pPr>
        <w:pStyle w:val="ListeParagraf"/>
        <w:numPr>
          <w:ilvl w:val="0"/>
          <w:numId w:val="2"/>
        </w:numPr>
      </w:pPr>
      <w:r>
        <w:t>Associate and undergraduate students must have a GPA of at least 2.50 out of 4.00 (2.5/4.00).</w:t>
      </w:r>
    </w:p>
    <w:p w:rsidR="00E5312B" w:rsidRDefault="00A8591D" w:rsidP="008B495C">
      <w:pPr>
        <w:pStyle w:val="ListeParagraf"/>
        <w:numPr>
          <w:ilvl w:val="0"/>
          <w:numId w:val="2"/>
        </w:numPr>
      </w:pPr>
      <w:r>
        <w:t>Graduate and doctorate students must have a GPA of at least 3.00 out of 4.00 (3.00/4.00).</w:t>
      </w:r>
    </w:p>
    <w:p w:rsidR="00A8591D" w:rsidRDefault="00A8591D" w:rsidP="008B495C">
      <w:pPr>
        <w:pStyle w:val="ListeParagraf"/>
        <w:numPr>
          <w:ilvl w:val="0"/>
          <w:numId w:val="2"/>
        </w:numPr>
      </w:pPr>
      <w:r>
        <w:t>Foreign students can participate in the programme.  However, they should not be citizens of the country they will be studying or teaching in.</w:t>
      </w:r>
    </w:p>
    <w:p w:rsidR="0046480D" w:rsidRDefault="0046480D" w:rsidP="008B495C">
      <w:pPr>
        <w:pStyle w:val="ListeParagraf"/>
        <w:numPr>
          <w:ilvl w:val="0"/>
          <w:numId w:val="2"/>
        </w:numPr>
      </w:pPr>
      <w:r>
        <w:t>Students who have to retake failed courses can apply to and participate in the programme</w:t>
      </w:r>
      <w:r w:rsidR="00A8591D">
        <w:t xml:space="preserve"> if they meet the other requirements</w:t>
      </w:r>
      <w:r>
        <w:t>.</w:t>
      </w:r>
    </w:p>
    <w:p w:rsidR="0046480D" w:rsidRDefault="0046480D" w:rsidP="008B495C">
      <w:pPr>
        <w:pStyle w:val="ListeParagraf"/>
        <w:numPr>
          <w:ilvl w:val="0"/>
          <w:numId w:val="2"/>
        </w:numPr>
      </w:pPr>
      <w:r>
        <w:t>Please visit the following website for more information about the programme:</w:t>
      </w:r>
    </w:p>
    <w:p w:rsidR="0046480D" w:rsidRDefault="0046480D" w:rsidP="0046480D">
      <w:pPr>
        <w:pStyle w:val="ListeParagraf"/>
        <w:numPr>
          <w:ilvl w:val="0"/>
          <w:numId w:val="2"/>
        </w:numPr>
      </w:pPr>
      <w:r>
        <w:t>PLEASE READ!: You are supposed to read the application guide</w:t>
      </w:r>
      <w:r w:rsidR="00071D16">
        <w:t xml:space="preserve"> dated 06.02.2020</w:t>
      </w:r>
      <w:r>
        <w:t xml:space="preserve"> and the decision of the Executive Council of Higher Education Council to </w:t>
      </w:r>
      <w:r w:rsidR="00071D16">
        <w:t>see the details, scholarships and field restrictions</w:t>
      </w:r>
      <w:r>
        <w:t>.</w:t>
      </w:r>
      <w:r w:rsidR="00071D16">
        <w:t xml:space="preserve"> Scholarships by regions are shown in the table below. It is highly important that you read thoroughly the scholarship amounts.  </w:t>
      </w:r>
    </w:p>
    <w:p w:rsidR="00071D16" w:rsidRDefault="00071D16" w:rsidP="00071D16">
      <w:pPr>
        <w:pStyle w:val="ListeParagraf"/>
        <w:jc w:val="center"/>
      </w:pPr>
      <w:r>
        <w:t>Grand Amounts and Payments</w:t>
      </w:r>
    </w:p>
    <w:tbl>
      <w:tblPr>
        <w:tblStyle w:val="TabloKlavuzu"/>
        <w:tblW w:w="0" w:type="auto"/>
        <w:tblInd w:w="720" w:type="dxa"/>
        <w:tblLook w:val="04A0" w:firstRow="1" w:lastRow="0" w:firstColumn="1" w:lastColumn="0" w:noHBand="0" w:noVBand="1"/>
      </w:tblPr>
      <w:tblGrid>
        <w:gridCol w:w="4323"/>
        <w:gridCol w:w="4245"/>
      </w:tblGrid>
      <w:tr w:rsidR="00071D16" w:rsidTr="00071D16">
        <w:tc>
          <w:tcPr>
            <w:tcW w:w="4644" w:type="dxa"/>
          </w:tcPr>
          <w:p w:rsidR="00071D16" w:rsidRDefault="00071D16" w:rsidP="00071D16">
            <w:pPr>
              <w:pStyle w:val="ListeParagraf"/>
              <w:ind w:left="0"/>
              <w:jc w:val="center"/>
            </w:pPr>
            <w:r>
              <w:t>Regions/Continents</w:t>
            </w:r>
          </w:p>
        </w:tc>
        <w:tc>
          <w:tcPr>
            <w:tcW w:w="4644" w:type="dxa"/>
          </w:tcPr>
          <w:p w:rsidR="00071D16" w:rsidRDefault="00071D16" w:rsidP="00071D16">
            <w:pPr>
              <w:pStyle w:val="ListeParagraf"/>
              <w:ind w:left="0"/>
              <w:jc w:val="center"/>
            </w:pPr>
            <w:r>
              <w:t>Outgoing Students Monthly Scholarships</w:t>
            </w:r>
          </w:p>
        </w:tc>
      </w:tr>
      <w:tr w:rsidR="00071D16" w:rsidTr="00071D16">
        <w:tc>
          <w:tcPr>
            <w:tcW w:w="4644" w:type="dxa"/>
          </w:tcPr>
          <w:p w:rsidR="00071D16" w:rsidRDefault="00071D16" w:rsidP="00071D16">
            <w:pPr>
              <w:pStyle w:val="ListeParagraf"/>
              <w:ind w:left="0"/>
              <w:jc w:val="center"/>
            </w:pPr>
            <w:r>
              <w:t>Asia-Pacific, South America, North America</w:t>
            </w:r>
          </w:p>
        </w:tc>
        <w:tc>
          <w:tcPr>
            <w:tcW w:w="4644" w:type="dxa"/>
          </w:tcPr>
          <w:p w:rsidR="00071D16" w:rsidRDefault="00071D16" w:rsidP="00071D16">
            <w:pPr>
              <w:pStyle w:val="ListeParagraf"/>
              <w:ind w:left="0"/>
              <w:jc w:val="center"/>
            </w:pPr>
            <w:r>
              <w:t>1.650 TL</w:t>
            </w:r>
          </w:p>
        </w:tc>
      </w:tr>
      <w:tr w:rsidR="00071D16" w:rsidTr="00071D16">
        <w:tc>
          <w:tcPr>
            <w:tcW w:w="4644" w:type="dxa"/>
          </w:tcPr>
          <w:p w:rsidR="00071D16" w:rsidRDefault="00071D16" w:rsidP="00071D16">
            <w:pPr>
              <w:pStyle w:val="ListeParagraf"/>
              <w:ind w:left="0"/>
              <w:jc w:val="center"/>
            </w:pPr>
            <w:r>
              <w:t>Central Asi</w:t>
            </w:r>
            <w:r w:rsidR="00AF61CB">
              <w:t>a, Sub-Saharan Africa</w:t>
            </w:r>
          </w:p>
        </w:tc>
        <w:tc>
          <w:tcPr>
            <w:tcW w:w="4644" w:type="dxa"/>
          </w:tcPr>
          <w:p w:rsidR="00071D16" w:rsidRDefault="00AF61CB" w:rsidP="00071D16">
            <w:pPr>
              <w:pStyle w:val="ListeParagraf"/>
              <w:ind w:left="0"/>
              <w:jc w:val="center"/>
            </w:pPr>
            <w:r>
              <w:t>1.500 TL</w:t>
            </w:r>
          </w:p>
        </w:tc>
      </w:tr>
      <w:tr w:rsidR="00071D16" w:rsidTr="00071D16">
        <w:tc>
          <w:tcPr>
            <w:tcW w:w="4644" w:type="dxa"/>
          </w:tcPr>
          <w:p w:rsidR="00071D16" w:rsidRDefault="00AF61CB" w:rsidP="00071D16">
            <w:pPr>
              <w:pStyle w:val="ListeParagraf"/>
              <w:ind w:left="0"/>
              <w:jc w:val="center"/>
            </w:pPr>
            <w:r>
              <w:t>South Caucasus, South Asia, Middle East and North Affrica</w:t>
            </w:r>
          </w:p>
        </w:tc>
        <w:tc>
          <w:tcPr>
            <w:tcW w:w="4644" w:type="dxa"/>
          </w:tcPr>
          <w:p w:rsidR="00071D16" w:rsidRDefault="00AF61CB" w:rsidP="00071D16">
            <w:pPr>
              <w:pStyle w:val="ListeParagraf"/>
              <w:ind w:left="0"/>
              <w:jc w:val="center"/>
            </w:pPr>
            <w:r>
              <w:t>1.400 TL</w:t>
            </w:r>
          </w:p>
        </w:tc>
      </w:tr>
    </w:tbl>
    <w:p w:rsidR="00071D16" w:rsidRDefault="00071D16" w:rsidP="00071D16">
      <w:pPr>
        <w:pStyle w:val="ListeParagraf"/>
        <w:jc w:val="center"/>
      </w:pPr>
    </w:p>
    <w:p w:rsidR="00AF61CB" w:rsidRDefault="00AF61CB" w:rsidP="00AF61CB">
      <w:pPr>
        <w:pStyle w:val="ListeParagraf"/>
        <w:numPr>
          <w:ilvl w:val="0"/>
          <w:numId w:val="4"/>
        </w:numPr>
      </w:pPr>
      <w:r>
        <w:t xml:space="preserve">The amounts stated are in Turkish Liras. These amounts indicate the amount of the monthly scholarship. The eligible student receives a four-month grant. If the student stays for 3 months in the visiting country, the student receives the payment for 3 months. However, if </w:t>
      </w:r>
      <w:r>
        <w:lastRenderedPageBreak/>
        <w:t>the stay duration is 5 months, the student is still paid for 4 months. The maximum amount of scholarship a student can receive is for 4 months.</w:t>
      </w:r>
    </w:p>
    <w:p w:rsidR="0046480D" w:rsidRDefault="00AF61CB" w:rsidP="00AF61CB">
      <w:pPr>
        <w:pStyle w:val="ListeParagraf"/>
        <w:numPr>
          <w:ilvl w:val="0"/>
          <w:numId w:val="4"/>
        </w:numPr>
      </w:pPr>
      <w:r>
        <w:t>For instance, the total grant amount a student can receive for a school in Central Asia is 6.000 TL. No payment is made other than this amount. T</w:t>
      </w:r>
      <w:r w:rsidR="008672F1">
        <w:t>ravel money, accommodation and food are not paid too.</w:t>
      </w:r>
      <w:r>
        <w:t xml:space="preserve">  </w:t>
      </w:r>
    </w:p>
    <w:p w:rsidR="008672F1" w:rsidRDefault="008672F1" w:rsidP="00AF61CB">
      <w:pPr>
        <w:pStyle w:val="ListeParagraf"/>
        <w:numPr>
          <w:ilvl w:val="0"/>
          <w:numId w:val="4"/>
        </w:numPr>
      </w:pPr>
      <w:r>
        <w:t>The eligible student receives 80% of the total grant before leaving for the visiting university. After the student submits the return documents, the student gets the remaining 20% of the money. For example, 4,800 Turkish Liras are paid to a student qualified for a university in Central Asia before leaving. The remaining 1.200 Turkish Liras are paid after the student submits the return documents.</w:t>
      </w:r>
    </w:p>
    <w:p w:rsidR="008672F1" w:rsidRDefault="008672F1" w:rsidP="00AF61CB">
      <w:pPr>
        <w:pStyle w:val="ListeParagraf"/>
        <w:numPr>
          <w:ilvl w:val="0"/>
          <w:numId w:val="4"/>
        </w:numPr>
      </w:pPr>
      <w:r>
        <w:t xml:space="preserve">If the student for any reason stays less than 4 months, the grant amount is recalculated and money is paid only for the duration period. For instance, </w:t>
      </w:r>
      <w:r w:rsidR="00F10503">
        <w:t>before leaving for the visiting university the student is paid 4.800 TL (4 month calculation); however, the student returns after 3 months. In this case the money is recalculated for 3 months (4.500 TL) and the student is supposed to give back 300 TL.</w:t>
      </w:r>
    </w:p>
    <w:p w:rsidR="00F10503" w:rsidRDefault="00F10503" w:rsidP="00F10503">
      <w:pPr>
        <w:pStyle w:val="ListeParagraf"/>
      </w:pPr>
    </w:p>
    <w:p w:rsidR="00F10503" w:rsidRDefault="00F10503" w:rsidP="00F10503">
      <w:pPr>
        <w:pStyle w:val="ListeParagraf"/>
        <w:jc w:val="center"/>
      </w:pPr>
      <w:r>
        <w:t>Important Consideration on Visiting Country Restrictions</w:t>
      </w:r>
    </w:p>
    <w:p w:rsidR="00AF61CB" w:rsidRDefault="00F10503" w:rsidP="00F10503">
      <w:r>
        <w:t xml:space="preserve">The decisions about Mevlana Exchange Programme are made only by YÖK. AYBU receives and send the application documents to YÖK. Decisions about the results for all Turkish universities are made by YÖK. A country restriction list is published before each application. This is highly important. </w:t>
      </w:r>
      <w:r w:rsidR="008B4400">
        <w:t>AYBU may end the agreement it has previously made with an institution based on the list sent by YÖK. For example, let’s assume that AYBU has an agreement with a university in Afghanistan on the basis of health science.  However, when the new list of country restrictions is checked, it is evident that</w:t>
      </w:r>
      <w:r w:rsidR="00C04CE6">
        <w:t xml:space="preserve"> there is</w:t>
      </w:r>
      <w:r w:rsidR="008B4400">
        <w:t xml:space="preserve"> a restriction in </w:t>
      </w:r>
      <w:r w:rsidR="00C04CE6">
        <w:t xml:space="preserve">this field with Afghanistan. Consequently, the previously made agreement will not be taken under consideration. Applications in this field for Afghanistan will not be possible. Please pay attention before applying. </w:t>
      </w:r>
    </w:p>
    <w:p w:rsidR="005827EC" w:rsidRPr="005827EC" w:rsidRDefault="005827EC" w:rsidP="005827EC">
      <w:pPr>
        <w:jc w:val="center"/>
        <w:rPr>
          <w:b/>
        </w:rPr>
      </w:pPr>
      <w:r w:rsidRPr="005827EC">
        <w:rPr>
          <w:b/>
        </w:rPr>
        <w:t>REQUIRED DOCUMENTS</w:t>
      </w:r>
    </w:p>
    <w:p w:rsidR="005827EC" w:rsidRPr="005827EC" w:rsidRDefault="005827EC" w:rsidP="005827EC">
      <w:pPr>
        <w:numPr>
          <w:ilvl w:val="0"/>
          <w:numId w:val="3"/>
        </w:numPr>
        <w:contextualSpacing/>
      </w:pPr>
      <w:r w:rsidRPr="005827EC">
        <w:t>Candidate Student Application Form</w:t>
      </w:r>
    </w:p>
    <w:p w:rsidR="005827EC" w:rsidRPr="005827EC" w:rsidRDefault="005827EC" w:rsidP="005827EC">
      <w:pPr>
        <w:ind w:left="360"/>
        <w:jc w:val="both"/>
      </w:pPr>
      <w:r w:rsidRPr="005827EC">
        <w:t xml:space="preserve">The students who want to apply to the Mevlana Exchange Programme should fulfil the Application Form (you may find above) and bring two signed copies together with the required documents to the International Relations Office by </w:t>
      </w:r>
      <w:r w:rsidRPr="005827EC">
        <w:rPr>
          <w:lang w:val="tr-TR"/>
        </w:rPr>
        <w:t>05.03.2020 4:30 pm.</w:t>
      </w:r>
    </w:p>
    <w:p w:rsidR="005827EC" w:rsidRPr="005827EC" w:rsidRDefault="005827EC" w:rsidP="005827EC">
      <w:pPr>
        <w:numPr>
          <w:ilvl w:val="0"/>
          <w:numId w:val="3"/>
        </w:numPr>
        <w:contextualSpacing/>
      </w:pPr>
      <w:r w:rsidRPr="005827EC">
        <w:t>Transcript (in English)</w:t>
      </w:r>
    </w:p>
    <w:p w:rsidR="005827EC" w:rsidRPr="005827EC" w:rsidRDefault="005827EC" w:rsidP="005827EC">
      <w:pPr>
        <w:ind w:left="360"/>
        <w:jc w:val="both"/>
      </w:pPr>
      <w:r w:rsidRPr="005827EC">
        <w:t>The students who want to apply to the programme must get their officially approved transcript (in English) which includes the grades of the latest semester, from the Student Affairs Office in their Faculties/Graduate Schools (Institutes).</w:t>
      </w:r>
    </w:p>
    <w:p w:rsidR="005827EC" w:rsidRPr="005827EC" w:rsidRDefault="005827EC" w:rsidP="005827EC">
      <w:pPr>
        <w:numPr>
          <w:ilvl w:val="0"/>
          <w:numId w:val="3"/>
        </w:numPr>
        <w:contextualSpacing/>
      </w:pPr>
      <w:r w:rsidRPr="005827EC">
        <w:t>Foreign Language Exam Result</w:t>
      </w:r>
    </w:p>
    <w:p w:rsidR="005827EC" w:rsidRPr="005827EC" w:rsidRDefault="005827EC" w:rsidP="005827EC">
      <w:pPr>
        <w:ind w:left="360"/>
        <w:jc w:val="both"/>
      </w:pPr>
      <w:r w:rsidRPr="005827EC">
        <w:t>Students whose mother tongue is Turkish are not expected to submit language score about their proficiency in Turkish. However if they want to study at departments where the language of instruction is English, they must submit an English Exam result or their English Class average point along with English version of transcript.</w:t>
      </w:r>
    </w:p>
    <w:p w:rsidR="005827EC" w:rsidRPr="005827EC" w:rsidRDefault="005827EC" w:rsidP="005827EC">
      <w:pPr>
        <w:numPr>
          <w:ilvl w:val="0"/>
          <w:numId w:val="3"/>
        </w:numPr>
        <w:contextualSpacing/>
      </w:pPr>
      <w:r w:rsidRPr="005827EC">
        <w:t>Photocopy of validate passport.</w:t>
      </w:r>
    </w:p>
    <w:p w:rsidR="00C04CE6" w:rsidRDefault="00C04CE6" w:rsidP="005827EC">
      <w:pPr>
        <w:jc w:val="center"/>
      </w:pPr>
      <w:bookmarkStart w:id="0" w:name="_GoBack"/>
      <w:bookmarkEnd w:id="0"/>
    </w:p>
    <w:sectPr w:rsidR="00C04CE6" w:rsidSect="003F3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C6" w:rsidRDefault="00173CC6" w:rsidP="00AF61CB">
      <w:pPr>
        <w:pStyle w:val="ListeParagraf"/>
        <w:spacing w:after="0" w:line="240" w:lineRule="auto"/>
      </w:pPr>
      <w:r>
        <w:separator/>
      </w:r>
    </w:p>
  </w:endnote>
  <w:endnote w:type="continuationSeparator" w:id="0">
    <w:p w:rsidR="00173CC6" w:rsidRDefault="00173CC6" w:rsidP="00AF61CB">
      <w:pPr>
        <w:pStyle w:val="ListeParagraf"/>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C6" w:rsidRDefault="00173CC6" w:rsidP="00AF61CB">
      <w:pPr>
        <w:pStyle w:val="ListeParagraf"/>
        <w:spacing w:after="0" w:line="240" w:lineRule="auto"/>
      </w:pPr>
      <w:r>
        <w:separator/>
      </w:r>
    </w:p>
  </w:footnote>
  <w:footnote w:type="continuationSeparator" w:id="0">
    <w:p w:rsidR="00173CC6" w:rsidRDefault="00173CC6" w:rsidP="00AF61CB">
      <w:pPr>
        <w:pStyle w:val="ListeParagraf"/>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BE2"/>
    <w:multiLevelType w:val="hybridMultilevel"/>
    <w:tmpl w:val="167A8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6578F9"/>
    <w:multiLevelType w:val="hybridMultilevel"/>
    <w:tmpl w:val="880EF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F6BBE"/>
    <w:multiLevelType w:val="hybridMultilevel"/>
    <w:tmpl w:val="49C6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00AC6"/>
    <w:multiLevelType w:val="hybridMultilevel"/>
    <w:tmpl w:val="2002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E4259"/>
    <w:multiLevelType w:val="hybridMultilevel"/>
    <w:tmpl w:val="10DE91C0"/>
    <w:lvl w:ilvl="0" w:tplc="650E4B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B3"/>
    <w:rsid w:val="00071D16"/>
    <w:rsid w:val="00173CC6"/>
    <w:rsid w:val="00270E1B"/>
    <w:rsid w:val="002F63B3"/>
    <w:rsid w:val="00341BF1"/>
    <w:rsid w:val="003F3DF9"/>
    <w:rsid w:val="0046480D"/>
    <w:rsid w:val="0047601D"/>
    <w:rsid w:val="00547AB8"/>
    <w:rsid w:val="005827EC"/>
    <w:rsid w:val="007673AC"/>
    <w:rsid w:val="00843C26"/>
    <w:rsid w:val="00845D63"/>
    <w:rsid w:val="008672F1"/>
    <w:rsid w:val="008B4400"/>
    <w:rsid w:val="008B495C"/>
    <w:rsid w:val="008D6EB8"/>
    <w:rsid w:val="00923EC1"/>
    <w:rsid w:val="009C61B0"/>
    <w:rsid w:val="00A8591D"/>
    <w:rsid w:val="00A966A0"/>
    <w:rsid w:val="00A96DB8"/>
    <w:rsid w:val="00AF61CB"/>
    <w:rsid w:val="00C04CE6"/>
    <w:rsid w:val="00D569E3"/>
    <w:rsid w:val="00DA0EAD"/>
    <w:rsid w:val="00E5312B"/>
    <w:rsid w:val="00F10503"/>
    <w:rsid w:val="00F8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ACB18-B7BF-45CE-B1CB-98197D7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0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DA0EAD"/>
    <w:pPr>
      <w:ind w:left="720"/>
      <w:contextualSpacing/>
    </w:pPr>
  </w:style>
  <w:style w:type="paragraph" w:styleId="stbilgi">
    <w:name w:val="header"/>
    <w:basedOn w:val="Normal"/>
    <w:link w:val="stbilgiChar"/>
    <w:uiPriority w:val="99"/>
    <w:semiHidden/>
    <w:unhideWhenUsed/>
    <w:rsid w:val="00AF61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61CB"/>
  </w:style>
  <w:style w:type="paragraph" w:styleId="Altbilgi">
    <w:name w:val="footer"/>
    <w:basedOn w:val="Normal"/>
    <w:link w:val="AltbilgiChar"/>
    <w:uiPriority w:val="99"/>
    <w:semiHidden/>
    <w:unhideWhenUsed/>
    <w:rsid w:val="00AF61C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2020-02-19T09:47:00Z</dcterms:created>
  <dcterms:modified xsi:type="dcterms:W3CDTF">2020-02-19T09:47:00Z</dcterms:modified>
</cp:coreProperties>
</file>